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07" w:rsidRPr="00BE4007" w:rsidRDefault="00BE4007" w:rsidP="00BE40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казенное</w:t>
      </w:r>
      <w:r w:rsidRPr="00BE400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дошкольное образовательное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учреждение Краснозерского района Новосибирской области Майский детский сад 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540" w:lineRule="atLeast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>Индивидуальный план работы по самообразованию</w:t>
      </w:r>
    </w:p>
    <w:p w:rsidR="00BE4007" w:rsidRPr="00BE4007" w:rsidRDefault="00BE4007" w:rsidP="00BE4007">
      <w:pPr>
        <w:shd w:val="clear" w:color="auto" w:fill="FFFFFF"/>
        <w:spacing w:after="0" w:line="660" w:lineRule="atLeast"/>
        <w:jc w:val="center"/>
        <w:rPr>
          <w:rFonts w:ascii="Helvetica" w:eastAsia="Times New Roman" w:hAnsi="Helvetica" w:cs="Helvetica"/>
          <w:color w:val="212121"/>
          <w:sz w:val="44"/>
          <w:szCs w:val="44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> </w:t>
      </w:r>
      <w:r w:rsidRPr="00BE4007">
        <w:rPr>
          <w:rFonts w:ascii="Times New Roman" w:eastAsia="Times New Roman" w:hAnsi="Times New Roman" w:cs="Times New Roman"/>
          <w:b/>
          <w:bCs/>
          <w:color w:val="212121"/>
          <w:sz w:val="44"/>
          <w:lang w:eastAsia="ru-RU"/>
        </w:rPr>
        <w:t>Тема: «</w:t>
      </w:r>
      <w:r w:rsidR="00D05158">
        <w:rPr>
          <w:rFonts w:ascii="Times New Roman" w:eastAsia="Times New Roman" w:hAnsi="Times New Roman" w:cs="Times New Roman"/>
          <w:b/>
          <w:bCs/>
          <w:color w:val="212121"/>
          <w:sz w:val="44"/>
          <w:lang w:eastAsia="ru-RU"/>
        </w:rPr>
        <w:t>Использование дидактических игр и пособий в коррекции речи детей дошкольников с ОНР»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Выполнила: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учитель – логопед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высшей категории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Штанько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Л.Н.</w:t>
      </w: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BE4007" w:rsidRPr="00BE4007" w:rsidRDefault="00BE4007" w:rsidP="00BE4007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Дата начала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над темой – сентябрь 2020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Предполагаемая дата окончания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работы – май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2021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«Важнейшим условием развития личности является самообразование, которое заключается в стремлении человека к непознанному, поиску новой информации, овладении новыми способами деятельности»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Актуальность темы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Вопросы развития правильной речи у детей </w:t>
      </w:r>
      <w:r w:rsidR="00F00D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имеющих ОНР 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сегодняшний день –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во-вторых, из-за недостаточного общения детей друг с другом и </w:t>
      </w:r>
      <w:proofErr w:type="gramStart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</w:t>
      </w:r>
      <w:proofErr w:type="gramEnd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взрослыми. Поэтому педагогическое воздействие при развитии речи дошкольников очень сложное и важное дело.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дошкольном возрасте соответствующее речевое развитие, с большим трудом наверстывают упущенное, в будущем этот пробел в развитии влияет на его дальнейшее развитие. Именно в дошкольном возрасте нужно обогащать пассивный словарь ребёнка, приучать ребенка самостоятельно пользоваться словами, стимулировать речевую активность и познавательные интересы.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Эта проблема подвела меня к мысли о необходимости больше внимания уделить именно развитию речи детей дошкольного возраста. Поэтому задача обогащения словаря и активизации речи детей должна решаться ежеминутно, 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ежесекундно, постоянно звучать в беседах с родителями, пронизывать все режимные моменты.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 Исходя из этого, проблема развития речи</w:t>
      </w:r>
      <w:r w:rsidR="001A0C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с ОНР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одной из актуальных.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Цель: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Повышение своего теоретического уровня, профессионального мастерства и компетентности. Создать условия для развития речи детей  посредством дидактической игры.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Задачи: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повысить собственный уровень знаний путём… (изучения необходимой литературы, посещения МО, самообразования, выхода на интернет-сайты…);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повысить компетентность родителей в вопросе влияния дидактических игр на развитие речи детей дошкольного  возраста.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обогатить предметно-развивающую среду группы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консультаций для родителей по данной теме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изготовление папок-передвижек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составление картотек дидактических игр по развитию речи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создание «Педагогической копилки» (картотека дидактических игр,  Артикуляционной гимнастики, пальчиковых </w:t>
      </w:r>
      <w:proofErr w:type="spellStart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физминуток</w:t>
      </w:r>
      <w:proofErr w:type="spellEnd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гимнастики, сборник консультаций)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обобщение и распространение передового педагогического опыта по теме самообразования.</w:t>
      </w:r>
    </w:p>
    <w:p w:rsidR="00BE4007" w:rsidRPr="00BE4007" w:rsidRDefault="00BE4007" w:rsidP="00BE4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укрепить связи между детским садом и семьёй.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Методы работы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словесные, наглядные, практические, игровые.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Принципы:</w:t>
      </w:r>
    </w:p>
    <w:p w:rsidR="00BE4007" w:rsidRPr="00BE4007" w:rsidRDefault="00BE4007" w:rsidP="00BE4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Принцип комплексного подхода к организации коррекционно-педагогического процесса.</w:t>
      </w:r>
    </w:p>
    <w:p w:rsidR="00BE4007" w:rsidRPr="00BE4007" w:rsidRDefault="00BE4007" w:rsidP="00BE4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 единства диагностики и непосредственного коррекционно-педагогического процесса.</w:t>
      </w:r>
    </w:p>
    <w:p w:rsidR="00BE4007" w:rsidRPr="00BE4007" w:rsidRDefault="00BE4007" w:rsidP="00BE4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 сотрудничества между воспитателями детьми и родителями</w:t>
      </w:r>
    </w:p>
    <w:p w:rsidR="00BE4007" w:rsidRPr="00BE4007" w:rsidRDefault="00BE4007" w:rsidP="00BE4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 учёта интересов всех участников коррекционно-педагогического процесса.</w:t>
      </w:r>
    </w:p>
    <w:p w:rsidR="00BE4007" w:rsidRPr="00BE4007" w:rsidRDefault="00BE4007" w:rsidP="00BE4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 дифференцированного подхода к дошкольникам в процессе воспитания у них правильной речи.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Ожидаемые результаты: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детей:</w:t>
      </w:r>
    </w:p>
    <w:p w:rsidR="00BE4007" w:rsidRPr="00BE4007" w:rsidRDefault="00BE4007" w:rsidP="00BE4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уровня развития речи у детей.</w:t>
      </w:r>
    </w:p>
    <w:p w:rsidR="00BE4007" w:rsidRPr="00BE4007" w:rsidRDefault="00BE4007" w:rsidP="00BE4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обратиться за помощью к взрослым.</w:t>
      </w:r>
    </w:p>
    <w:p w:rsidR="00BE4007" w:rsidRPr="00BE4007" w:rsidRDefault="00BE4007" w:rsidP="00BE4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мелкой моторики.</w:t>
      </w:r>
    </w:p>
    <w:p w:rsidR="00BE4007" w:rsidRPr="00BE4007" w:rsidRDefault="00BE4007" w:rsidP="00BE4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познавательной активности, творческих способностей.</w:t>
      </w:r>
    </w:p>
    <w:p w:rsidR="00BE4007" w:rsidRPr="00BE4007" w:rsidRDefault="00BE4007" w:rsidP="00BE4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самостоятельно играть в игры.</w:t>
      </w:r>
    </w:p>
    <w:p w:rsidR="00BE4007" w:rsidRPr="00BE4007" w:rsidRDefault="00D05158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учителя – логопеда </w:t>
      </w:r>
      <w:r w:rsidR="00BE4007"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E4007" w:rsidRPr="00BE4007" w:rsidRDefault="00BE4007" w:rsidP="00BE4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Новые знания о развитии речи детей.</w:t>
      </w:r>
    </w:p>
    <w:p w:rsidR="00BE4007" w:rsidRPr="00BE4007" w:rsidRDefault="00BE4007" w:rsidP="00BE4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Желание работать в этом направлении.</w:t>
      </w:r>
    </w:p>
    <w:p w:rsidR="00BE4007" w:rsidRPr="00BE4007" w:rsidRDefault="00BE4007" w:rsidP="00BE4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самообразования.</w:t>
      </w:r>
    </w:p>
    <w:p w:rsidR="00BE4007" w:rsidRPr="00BE4007" w:rsidRDefault="00BE4007" w:rsidP="00BE4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отношений с родителями.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родителей:</w:t>
      </w:r>
    </w:p>
    <w:p w:rsidR="00BE4007" w:rsidRPr="00BE4007" w:rsidRDefault="00BE4007" w:rsidP="00BE4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Сближение с детьми и педагогами.</w:t>
      </w:r>
    </w:p>
    <w:p w:rsidR="00BE4007" w:rsidRPr="00BE4007" w:rsidRDefault="00BE4007" w:rsidP="00BE4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 к событиям, происходящим в детском саду.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Вид деятельности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Самостоятельная деятельность педагога.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Составить перспективный план работы по развитию речи детей </w:t>
      </w:r>
      <w:r w:rsidR="00F00D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ОНР 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дошкольного возраста посредством дидактической игры.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Подобрать методический материал по изготовлению дидактических игр.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Пополнять и обновлять уголок дидактических игр в группе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занятий по развитию речи: «Домашние животные», «Дикие животные», «Животные и их детёныши», «Птицы», «Овощи и фрукты»</w:t>
      </w:r>
      <w:proofErr w:type="gramStart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«Времена года» и т. д.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Разработка дидактических игр: «Где то живет?», «</w:t>
      </w:r>
      <w:proofErr w:type="gramStart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</w:t>
      </w:r>
      <w:proofErr w:type="gramEnd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питается?», «Кто где обитает?», «Четвертый лишний», «Дикие и домашние животные», «Варим суп и компот», «Продолжи ряд», «Посади божью коровку на листок» и т. д.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картотеки дидактических игр.</w:t>
      </w:r>
    </w:p>
    <w:p w:rsidR="00BE4007" w:rsidRPr="00BE4007" w:rsidRDefault="00BE4007" w:rsidP="00BE4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Изготовление атрибутов к дидактическим играм.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Подготовительный этап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Методологический раздел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Основная особенность дидактических игр определена их названием: это игры обучающие. Они создаются взрослыми в целях воспитания и обучения играющих детей.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Эти игры способствуют развитию познавательной деятельности, интеллектуальных операций, представляющих собой основу обучения. Для дидактических игр характерно наличие задачи учебного характера - обучающей задачи. Ею руководствуются взрослые, создавая ту или иную дидактическую игру, но облекают ее в занимательную для детей форму.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Приведем примеры обучающих задач по развитию речи детей дошкольного возраста в процессе дидактической игры: обеспечивают количественное накопление необходимого для полноценного общения словарного запаса; помогают в понимании значений слов и их правильного употребления с другими словами; позволяют освоить обобщающие значения слов, основанные на выделении общих характерных признаков предметов, действий или явлений; </w:t>
      </w:r>
      <w:proofErr w:type="gramStart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улучшают образность мышления и ее выражение словесным описанием, благодаря использованию специальных речевых построений; по мере развития познавательных возможностей дидактические игры по развитию речи помогают расширять объективное понятийное содержание слов; некоторые игры с задачами этического содержания, наряду 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 совершенствованием словарного запаса, обучают задаткам социальной этики и морали; стимулируют работу воображения, активируя и обогащая словарь дошкольника в занимательной игровой форме;</w:t>
      </w:r>
      <w:proofErr w:type="gramEnd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развивают логическое и образное мышление, необходимое для решения поставленных игровых задач; способствуют не только пополнению словарного запаса, но и активно вводят новые слова в повседневное общение.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Однако</w:t>
      </w:r>
      <w:proofErr w:type="gramStart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 образом,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знания. Значит, дидактическая игра поможет ему чему-то научиться в легкой, непринужденной форме.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является эффективным средством развития речи детей. Большое влияние на развитие речи детей оказывают игры, содержанием которых является инсценированные какого-либо сюжета, - так называемые игры-драматизации.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 поведение.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Главное место в игре надо отводить работе со звуком, буквой, предложением.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</w:t>
      </w: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дефектов в фонематическом развитии 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обобщения о звуковом составе слова.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Ребёнок начинает осознанно относиться к воспринимаемой речи взрослых и сверстников в повседневном общении, самостоятельно оценивать те или иные особенности художественной речи, языка произведений художественной литературы и фольклора. Невозможно себе представить, что ребёнок, «глухой» к звучащему слову, будет эстетически полноценно воспринимать и чувствовать поэтическую речь. Развитие речи ребёнка в дошкольном возрасте способствует в дальнейшем благополучному обучению в школе.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Задача педагога заключается в том, чтобы вызвать у детей интерес к игре, подобрать такие варианты игры, где дети смогли бы активно обогатить свой словарь. Дидактическая игра является широко распространенным методом словарной работы с детьми дошкольного возраста.</w:t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особых знаний в области педагогических наук и больших затрат в подготовке игры.</w:t>
      </w:r>
    </w:p>
    <w:p w:rsidR="00BE4007" w:rsidRPr="00BE4007" w:rsidRDefault="00BE4007" w:rsidP="00BE4007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 w:type="textWrapping" w:clear="all"/>
      </w:r>
    </w:p>
    <w:p w:rsidR="00BE4007" w:rsidRPr="00BE4007" w:rsidRDefault="00BE4007" w:rsidP="00BE4007">
      <w:pPr>
        <w:shd w:val="clear" w:color="auto" w:fill="FFFFFF"/>
        <w:spacing w:after="0" w:line="420" w:lineRule="atLeast"/>
        <w:ind w:firstLine="567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E400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Практический этап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3"/>
        <w:gridCol w:w="3991"/>
        <w:gridCol w:w="4143"/>
      </w:tblGrid>
      <w:tr w:rsidR="00BE4007" w:rsidRPr="00BE4007" w:rsidTr="00BE4007"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Месяц</w:t>
            </w:r>
          </w:p>
        </w:tc>
        <w:tc>
          <w:tcPr>
            <w:tcW w:w="2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Тема</w:t>
            </w:r>
          </w:p>
        </w:tc>
        <w:tc>
          <w:tcPr>
            <w:tcW w:w="47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Содержание работы</w:t>
            </w:r>
          </w:p>
        </w:tc>
      </w:tr>
      <w:tr w:rsidR="00BE4007" w:rsidRPr="00BE4007" w:rsidTr="00BE4007">
        <w:trPr>
          <w:trHeight w:val="1872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Изучение литературы, дидактических игр методики и технологий педагогов по данной теме.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Список литературы.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Разработка и оформление дидактических игр по данной теме. Картотека. Посещение открытых занятий.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Сентябрь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Октябрь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Роль игры в жизни детей.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Развитие речи в средней группе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Подбор и изучение литературы по теме; дидактических игр и упражнений; сюжетных картин. Дидактические игры на занятиях.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Ноябрь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Использование дидактической </w:t>
            </w: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игры в процессе образовательной деятельности с детьми дошкольного возраста             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Уточнение знаний об </w:t>
            </w: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активизации и обогащении словарного запаса детей посредством дидактических игр.</w:t>
            </w:r>
            <w:r w:rsidRPr="00BE4007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Дидактические игры на занятиях.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Влияние русских народных сказок на развитие речи детей дошкольного возраста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Обучение детей внимательно слушать воспитателя; видеть и выделять положительные и отрицательные черты сказок и героев этих сказок; учить отвечать на вопросы воспитателя по содержанию сказки.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Январь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Игры и упражнения для развития речи детей среднего.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Говорим правильно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 Подготовка дидактического материала.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Участие родителей в изготовлении дидактических игр.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Консультация для родителей.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Февраль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Работа по составлению рассказов по сюжетным картинам. Подбор аудио и видеозаписей песен и мультфильмов для развития речи.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</w:t>
            </w: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рассказ по картине с опорой на образец воспитателя. Пополнять и активизировать словарный запас детей.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Просмотр мультфильмов, слушание песен.</w:t>
            </w:r>
            <w:r w:rsidRPr="00BE4007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Картотека песен, мультфильмов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Оформление уголка на тему: «Дидактические игры для развития речи»</w:t>
            </w:r>
            <w:r w:rsidRPr="00BE4007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Развитие связной речи через театральную деятельность.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 Изучение методической литературы о театрализованной деятельности в детском саду, развитие творческой самостоятельности детей, развивать выразительность в речи; развивать творческие способности детей дошкольного возраста.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Апрель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Игра на развитие словарного запаса.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Совместное творчество детей и родителей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Буклет для родителей.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Развитие творческой самостоятельности, эстетического вкуса, В передачи образа; Развитие речи эмоциональной направленности. Раскрытие творческих способностей детей.</w:t>
            </w:r>
          </w:p>
        </w:tc>
      </w:tr>
      <w:tr w:rsidR="00BE4007" w:rsidRPr="00BE4007" w:rsidTr="00BE4007">
        <w:tc>
          <w:tcPr>
            <w:tcW w:w="13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Подготовка к летней оздоровительной работе.</w:t>
            </w:r>
          </w:p>
          <w:p w:rsidR="00BE4007" w:rsidRPr="00BE4007" w:rsidRDefault="00BE4007" w:rsidP="00BE40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BE4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Результаты проведенной работы по самообразованию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4007" w:rsidRPr="00BE4007" w:rsidRDefault="00BE4007" w:rsidP="00B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88C" w:rsidRDefault="00E1088C"/>
    <w:sectPr w:rsidR="00E1088C" w:rsidSect="00E1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13"/>
    <w:multiLevelType w:val="multilevel"/>
    <w:tmpl w:val="5FC8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8546F"/>
    <w:multiLevelType w:val="multilevel"/>
    <w:tmpl w:val="E93A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D7BE4"/>
    <w:multiLevelType w:val="multilevel"/>
    <w:tmpl w:val="6C6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F1D46"/>
    <w:multiLevelType w:val="multilevel"/>
    <w:tmpl w:val="67B8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77F4C"/>
    <w:multiLevelType w:val="multilevel"/>
    <w:tmpl w:val="C89A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270C75"/>
    <w:multiLevelType w:val="multilevel"/>
    <w:tmpl w:val="69A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07"/>
    <w:rsid w:val="001A0C4F"/>
    <w:rsid w:val="0036329A"/>
    <w:rsid w:val="009C4292"/>
    <w:rsid w:val="00BE4007"/>
    <w:rsid w:val="00D05158"/>
    <w:rsid w:val="00E1088C"/>
    <w:rsid w:val="00F0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</dc:creator>
  <cp:keywords/>
  <dc:description/>
  <cp:lastModifiedBy>-P</cp:lastModifiedBy>
  <cp:revision>7</cp:revision>
  <dcterms:created xsi:type="dcterms:W3CDTF">2021-03-08T13:32:00Z</dcterms:created>
  <dcterms:modified xsi:type="dcterms:W3CDTF">2021-03-09T15:03:00Z</dcterms:modified>
</cp:coreProperties>
</file>